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99" w:rsidRDefault="000D2177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ДОГОВОР-ОФЕРТА</w:t>
      </w:r>
    </w:p>
    <w:p w:rsidR="002D0699" w:rsidRDefault="000D217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услуг по проведению персональных тренировок</w:t>
      </w:r>
    </w:p>
    <w:p w:rsidR="002D0699" w:rsidRDefault="002D0699">
      <w:pPr>
        <w:pStyle w:val="ConsPlusNormal"/>
        <w:ind w:left="425" w:firstLine="425"/>
        <w:jc w:val="center"/>
        <w:rPr>
          <w:color w:val="000000"/>
          <w:sz w:val="22"/>
          <w:szCs w:val="22"/>
        </w:rPr>
      </w:pPr>
    </w:p>
    <w:p w:rsidR="002D0699" w:rsidRDefault="000D2177">
      <w:pPr>
        <w:pStyle w:val="ConsPlusNormal"/>
        <w:ind w:left="425" w:firstLine="42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Общие положения</w:t>
      </w:r>
    </w:p>
    <w:p w:rsidR="002D0699" w:rsidRDefault="000D2177">
      <w:pPr>
        <w:pStyle w:val="ConsPlusNormal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 Настоящий документ является публичной офертой индивидуального предпринимателя Маркова Виталия Валерьевича (ОГРНИП 321619600106687) (далее </w:t>
      </w:r>
      <w:r>
        <w:rPr>
          <w:color w:val="000000"/>
          <w:sz w:val="22"/>
          <w:szCs w:val="22"/>
        </w:rPr>
        <w:noBreakHyphen/>
      </w:r>
      <w:r>
        <w:rPr>
          <w:color w:val="000000"/>
          <w:sz w:val="22"/>
          <w:szCs w:val="22"/>
        </w:rPr>
        <w:t xml:space="preserve"> Исполнитель) и содержит все существенные условия договора на оказание услуг физическим лицам по проведению групповых тренировок в фитнес-клубе «Ohana» (далее </w:t>
      </w:r>
      <w:r>
        <w:rPr>
          <w:color w:val="000000"/>
          <w:sz w:val="22"/>
          <w:szCs w:val="22"/>
        </w:rPr>
        <w:noBreakHyphen/>
        <w:t xml:space="preserve"> Клуб).</w:t>
      </w:r>
    </w:p>
    <w:p w:rsidR="002D0699" w:rsidRDefault="000D2177">
      <w:pPr>
        <w:pStyle w:val="ConsPlusNormal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1.2. В соответствии с пунктом 3 статьи 438 Гражданского кодекса Российской Федерации (да</w:t>
      </w:r>
      <w:r>
        <w:rPr>
          <w:color w:val="000000"/>
          <w:sz w:val="22"/>
          <w:szCs w:val="22"/>
        </w:rPr>
        <w:t xml:space="preserve">лее </w:t>
      </w:r>
      <w:r>
        <w:rPr>
          <w:color w:val="000000"/>
          <w:sz w:val="22"/>
          <w:szCs w:val="22"/>
        </w:rPr>
        <w:noBreakHyphen/>
        <w:t xml:space="preserve"> ГК РФ), в случае принятия изложенных ниже условий и оплаты услуг, физическое лицо, производящее акцепт этой оферты, становится Заказчиком, а Исполнитель и Заказчик совместно – Сторонами договора оферты.</w:t>
      </w:r>
    </w:p>
    <w:p w:rsidR="002D0699" w:rsidRDefault="000D2177">
      <w:pPr>
        <w:pStyle w:val="ConsPlusNormal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1.3. Совершая действия по акцепту настоящего пу</w:t>
      </w:r>
      <w:r>
        <w:rPr>
          <w:color w:val="000000"/>
          <w:sz w:val="22"/>
          <w:szCs w:val="22"/>
        </w:rPr>
        <w:t xml:space="preserve">бличного договора оферты, Заказчик подтверждает свою правоспособность и дееспособность, достижение Заказчиком возраста 18 лет, законное право Заказчика вступать в договорные отношения с Исполнителем, </w:t>
      </w:r>
      <w:r>
        <w:rPr>
          <w:sz w:val="22"/>
          <w:szCs w:val="22"/>
        </w:rPr>
        <w:t>соблюдение Правил посещения и техники безопасности при н</w:t>
      </w:r>
      <w:r>
        <w:rPr>
          <w:sz w:val="22"/>
          <w:szCs w:val="22"/>
        </w:rPr>
        <w:t>ахождении в Клубе,</w:t>
      </w:r>
      <w:r>
        <w:rPr>
          <w:color w:val="000000"/>
          <w:sz w:val="22"/>
          <w:szCs w:val="22"/>
        </w:rPr>
        <w:t xml:space="preserve"> а также отсутствие у Заказчика медицинских противопоказаний для посещения групповых тренировок.</w:t>
      </w:r>
    </w:p>
    <w:p w:rsidR="002D0699" w:rsidRDefault="000D2177">
      <w:pPr>
        <w:pStyle w:val="ConsPlusNormal"/>
        <w:ind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1.4 Оферта вступает в силу с момента ее размещения на Веб-сайте Клуба,</w:t>
      </w:r>
      <w:r>
        <w:rPr>
          <w:color w:val="000000"/>
          <w:sz w:val="22"/>
          <w:szCs w:val="22"/>
        </w:rPr>
        <w:t xml:space="preserve"> а также в общедоступном для ознакомления месте на территории Клуба,</w:t>
      </w:r>
      <w:r>
        <w:rPr>
          <w:rFonts w:eastAsiaTheme="minorHAnsi"/>
          <w:sz w:val="22"/>
          <w:szCs w:val="22"/>
          <w:lang w:eastAsia="en-US"/>
        </w:rPr>
        <w:t xml:space="preserve"> и </w:t>
      </w:r>
      <w:r>
        <w:rPr>
          <w:rFonts w:eastAsiaTheme="minorHAnsi"/>
          <w:sz w:val="22"/>
          <w:szCs w:val="22"/>
          <w:lang w:eastAsia="en-US"/>
        </w:rPr>
        <w:t>действует до ее отзыва.</w:t>
      </w:r>
    </w:p>
    <w:p w:rsidR="002D0699" w:rsidRDefault="000D2177">
      <w:pPr>
        <w:pStyle w:val="ConsPlusNormal"/>
        <w:ind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1.5 Исполнитель вправе изменить или отозвать оферту в одностороннем порядке. Все изменения вступают в силу и считаются доведенными до сведения Заказчика в момент размещения на Веб-сайте Клуба. Услуги, которые уже оплачены к моменту </w:t>
      </w:r>
      <w:r>
        <w:rPr>
          <w:rFonts w:eastAsiaTheme="minorHAnsi"/>
          <w:sz w:val="22"/>
          <w:szCs w:val="22"/>
          <w:lang w:eastAsia="en-US"/>
        </w:rPr>
        <w:t>изменения или отзыва оферты, оказываются на условиях оферты, которая действовала на момент их оплаты.</w:t>
      </w:r>
    </w:p>
    <w:p w:rsidR="002D0699" w:rsidRDefault="002D0699">
      <w:pPr>
        <w:pStyle w:val="ConsPlusNormal"/>
        <w:ind w:firstLine="284"/>
        <w:jc w:val="both"/>
        <w:rPr>
          <w:color w:val="000000"/>
          <w:sz w:val="22"/>
          <w:szCs w:val="22"/>
        </w:rPr>
      </w:pPr>
    </w:p>
    <w:p w:rsidR="002D0699" w:rsidRDefault="000D2177">
      <w:pPr>
        <w:pStyle w:val="ConsPlusNormal"/>
        <w:ind w:firstLine="28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Термины и определения</w:t>
      </w:r>
    </w:p>
    <w:p w:rsidR="002D0699" w:rsidRDefault="000D2177">
      <w:pPr>
        <w:pStyle w:val="ConsPlusNormal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 В целях настоящей оферты нижеприведенные термины используются в следующих значениях:</w:t>
      </w:r>
    </w:p>
    <w:p w:rsidR="002D0699" w:rsidRDefault="000D2177">
      <w:pPr>
        <w:pStyle w:val="ConsPlusNormal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Оферта </w:t>
      </w:r>
      <w:r>
        <w:rPr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настоящий документ, опубликов</w:t>
      </w:r>
      <w:r>
        <w:rPr>
          <w:color w:val="000000"/>
          <w:sz w:val="22"/>
          <w:szCs w:val="22"/>
        </w:rPr>
        <w:t>анный в сети Интернет на Веб-Сайте Клуба, а также в общедоступном для ознакомления месте на территории Клуба, содержащий предложение для лиц, являющихся членами Клуба.</w:t>
      </w:r>
    </w:p>
    <w:p w:rsidR="002D0699" w:rsidRDefault="000D2177">
      <w:pPr>
        <w:pStyle w:val="ConsPlusNormal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Акцепт оферты – полное и безоговорочное принятие условий Оферты Заказчиком путем осущест</w:t>
      </w:r>
      <w:r>
        <w:rPr>
          <w:color w:val="000000"/>
          <w:sz w:val="22"/>
          <w:szCs w:val="22"/>
        </w:rPr>
        <w:t>вления действий, указанных в настоящей Оферте. Акцепт Оферты создает Договор оферты.</w:t>
      </w:r>
    </w:p>
    <w:p w:rsidR="002D0699" w:rsidRDefault="000D2177">
      <w:pPr>
        <w:pStyle w:val="ConsPlusNormal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Клуб – фитнес-клуб «Ohana», находящийся по адресу: </w:t>
      </w:r>
      <w:r>
        <w:rPr>
          <w:color w:val="000000"/>
        </w:rPr>
        <w:t>г. Москва, ул. Бунинская аллея, дом 9А</w:t>
      </w:r>
      <w:r>
        <w:rPr>
          <w:color w:val="000000"/>
          <w:sz w:val="22"/>
          <w:szCs w:val="22"/>
        </w:rPr>
        <w:t>.</w:t>
      </w:r>
    </w:p>
    <w:p w:rsidR="002D0699" w:rsidRDefault="000D2177">
      <w:pPr>
        <w:pStyle w:val="ConsPlusNormal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Правила Клуба </w:t>
      </w:r>
      <w:r>
        <w:rPr>
          <w:sz w:val="22"/>
          <w:szCs w:val="22"/>
        </w:rPr>
        <w:t>– правила посещения и техники безопасности при нахождении на терри</w:t>
      </w:r>
      <w:r>
        <w:rPr>
          <w:sz w:val="22"/>
          <w:szCs w:val="22"/>
        </w:rPr>
        <w:t>тории Клуба, содержащие в себе правила получения услуг в соответствии с настоящей Офертой, обязательные для соблюдения Заказчиком и размещенные в открытом доступе на Веб-Сайте Клуба.</w:t>
      </w:r>
    </w:p>
    <w:p w:rsidR="002D0699" w:rsidRDefault="000D2177">
      <w:pPr>
        <w:pStyle w:val="ConsPlusNormal"/>
        <w:ind w:firstLine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Веб-Сайт – принадлежащий Клубу ресурс, размещенный для публичного доступа</w:t>
      </w:r>
      <w:r>
        <w:rPr>
          <w:color w:val="000000"/>
          <w:sz w:val="22"/>
          <w:szCs w:val="22"/>
        </w:rPr>
        <w:t xml:space="preserve"> в сети Интернет по адресу: </w:t>
      </w:r>
      <w:r>
        <w:t>https://butovo.ohana-fitness.ru/</w:t>
      </w:r>
      <w:r>
        <w:rPr>
          <w:color w:val="000000"/>
          <w:sz w:val="22"/>
          <w:szCs w:val="22"/>
        </w:rPr>
        <w:t>, обеспечивающий информирование пользователей о типах услуг, порядке их заказа и оплаты, и предоставляющий потенциальным Заказчикам возможность оформить заказ онлайн.</w:t>
      </w:r>
    </w:p>
    <w:p w:rsidR="002D0699" w:rsidRDefault="000D2177">
      <w:pPr>
        <w:pStyle w:val="ConsPlusNormal"/>
        <w:ind w:firstLine="28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Договор оферты – договор межд</w:t>
      </w:r>
      <w:r>
        <w:rPr>
          <w:sz w:val="22"/>
          <w:szCs w:val="22"/>
        </w:rPr>
        <w:t xml:space="preserve">у Исполнителем и Заказчиком на оказание услуг </w:t>
      </w:r>
      <w:r>
        <w:rPr>
          <w:color w:val="000000"/>
          <w:sz w:val="22"/>
          <w:szCs w:val="22"/>
        </w:rPr>
        <w:t>по проведению персональных тренировок, который заключается посредством акцепта Оферты.</w:t>
      </w:r>
    </w:p>
    <w:p w:rsidR="002D0699" w:rsidRDefault="000D2177">
      <w:pPr>
        <w:pStyle w:val="ConsPlus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 – </w:t>
      </w:r>
      <w:r>
        <w:rPr>
          <w:color w:val="000000"/>
          <w:sz w:val="22"/>
          <w:szCs w:val="22"/>
        </w:rPr>
        <w:t xml:space="preserve">дееспособное физическое лицо, достигшее возраста 18 лет, имеющее законное право вступать в договорные отношения </w:t>
      </w:r>
      <w:r>
        <w:rPr>
          <w:color w:val="000000"/>
          <w:sz w:val="22"/>
          <w:szCs w:val="22"/>
        </w:rPr>
        <w:t>с Исполнителем,</w:t>
      </w:r>
      <w:r>
        <w:rPr>
          <w:sz w:val="22"/>
          <w:szCs w:val="22"/>
        </w:rPr>
        <w:t xml:space="preserve"> соблюдающее Правила посещения и техники безопасности при нахождении в Клубе,</w:t>
      </w:r>
      <w:r>
        <w:rPr>
          <w:color w:val="000000"/>
          <w:sz w:val="22"/>
          <w:szCs w:val="22"/>
        </w:rPr>
        <w:t xml:space="preserve"> не имеющее медицинских противопоказаний для осуществления персональных тренировок, </w:t>
      </w:r>
      <w:r>
        <w:rPr>
          <w:sz w:val="22"/>
          <w:szCs w:val="22"/>
        </w:rPr>
        <w:t>осуществившее акцепт Оферты, и являющееся таким образом Заказчиком услуг по закл</w:t>
      </w:r>
      <w:r>
        <w:rPr>
          <w:sz w:val="22"/>
          <w:szCs w:val="22"/>
        </w:rPr>
        <w:t>юченному Договору Оферты.</w:t>
      </w:r>
    </w:p>
    <w:p w:rsidR="002D0699" w:rsidRDefault="000D2177">
      <w:pPr>
        <w:pStyle w:val="ConsPlusNormal"/>
        <w:ind w:firstLine="28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Исполнитель – лицо, оказывающее услуги по Договору оферты: </w:t>
      </w:r>
      <w:r>
        <w:rPr>
          <w:color w:val="000000"/>
          <w:sz w:val="22"/>
          <w:szCs w:val="22"/>
        </w:rPr>
        <w:t>индивидуальный предприниматель Марков Виталий Валерьевич, ОГРНИП 321619600106687.</w:t>
      </w:r>
    </w:p>
    <w:p w:rsidR="002D0699" w:rsidRDefault="000D2177">
      <w:pPr>
        <w:pStyle w:val="ConsPlusNormal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Прейскурант – перечень услуг, выполняемых Исполнителем, содержащий стоимость данных услуг</w:t>
      </w:r>
      <w:r>
        <w:rPr>
          <w:color w:val="000000"/>
          <w:sz w:val="22"/>
          <w:szCs w:val="22"/>
        </w:rPr>
        <w:t>.</w:t>
      </w:r>
    </w:p>
    <w:p w:rsidR="002D0699" w:rsidRDefault="002D0699">
      <w:pPr>
        <w:pStyle w:val="ConsPlusNormal"/>
        <w:ind w:firstLine="284"/>
        <w:jc w:val="both"/>
        <w:rPr>
          <w:sz w:val="22"/>
          <w:szCs w:val="22"/>
        </w:rPr>
      </w:pPr>
    </w:p>
    <w:p w:rsidR="002D0699" w:rsidRDefault="000D2177">
      <w:pPr>
        <w:pStyle w:val="ConsPlusNormal"/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3. Предмет Оферты и акцепт Оферты</w:t>
      </w:r>
    </w:p>
    <w:p w:rsidR="002D0699" w:rsidRDefault="000D2177">
      <w:pPr>
        <w:pStyle w:val="ConsPlus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Исполнитель обязуется </w:t>
      </w:r>
      <w:bookmarkStart w:id="1" w:name="_Hlk106716042"/>
      <w:r>
        <w:rPr>
          <w:sz w:val="22"/>
          <w:szCs w:val="22"/>
        </w:rPr>
        <w:t xml:space="preserve">оказать Заказчику услуги по проведению </w:t>
      </w:r>
      <w:r>
        <w:rPr>
          <w:color w:val="000000"/>
          <w:sz w:val="22"/>
          <w:szCs w:val="22"/>
        </w:rPr>
        <w:t xml:space="preserve">групповых </w:t>
      </w:r>
      <w:r>
        <w:rPr>
          <w:sz w:val="22"/>
          <w:szCs w:val="22"/>
        </w:rPr>
        <w:t xml:space="preserve">тренировок в согласованном сторонами количестве (далее блок персональных тренировок) в </w:t>
      </w:r>
      <w:bookmarkEnd w:id="1"/>
      <w:r>
        <w:rPr>
          <w:sz w:val="22"/>
          <w:szCs w:val="22"/>
        </w:rPr>
        <w:t>Клубе в соответствии с условиями настоящей Оферты, а Зак</w:t>
      </w:r>
      <w:r>
        <w:rPr>
          <w:sz w:val="22"/>
          <w:szCs w:val="22"/>
        </w:rPr>
        <w:t>азчик обязуется оплачивать услуги по установленной стоимости, указанной в Прейскуранте Исполнителя.</w:t>
      </w:r>
    </w:p>
    <w:p w:rsidR="002D0699" w:rsidRDefault="000D2177">
      <w:pPr>
        <w:pStyle w:val="ConsPlus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3.2. Публичная Оферта является официальным документом, содержащим условия об оказании услуг, и публикуется в сети Интернет на Веб-Сайте Клуба, а также разме</w:t>
      </w:r>
      <w:r>
        <w:rPr>
          <w:sz w:val="22"/>
          <w:szCs w:val="22"/>
        </w:rPr>
        <w:t>щается в общедоступном для ознакомления месте на территории Клуба.</w:t>
      </w:r>
    </w:p>
    <w:p w:rsidR="002D0699" w:rsidRDefault="000D2177">
      <w:pPr>
        <w:pStyle w:val="ConsPlus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3.3. Настоящий договор оферты считается заключенным с момента оплаты услуг Заказчиком Исполнителю.</w:t>
      </w:r>
    </w:p>
    <w:p w:rsidR="002D0699" w:rsidRDefault="000D217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3.3.1. Заказчик знакомится с Прейскурантом, содержащим в себе перечень услуг, а также их стоимость, в отделе продаж Исполнителя, выбирает необходимый вид услуг, количество занятий, и оплачивает стоимость услуг в кассе Клуба либо посредством перечислен</w:t>
      </w:r>
      <w:r>
        <w:rPr>
          <w:rFonts w:ascii="Times New Roman" w:hAnsi="Times New Roman" w:cs="Times New Roman"/>
        </w:rPr>
        <w:t>ия денежных средств на расчётный счет Исполнителя на основании выставленного к оплате счета.</w:t>
      </w:r>
    </w:p>
    <w:p w:rsidR="002D0699" w:rsidRDefault="000D217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3.3.1. Заказчик обязан оплатить авансовый платеж в размере 100% от стоимости услуг.</w:t>
      </w:r>
    </w:p>
    <w:p w:rsidR="002D0699" w:rsidRDefault="000D2177">
      <w:pPr>
        <w:pStyle w:val="ConsPlus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3.4. Акцептуя Оферту в соответствии с п. 3.3. настоящей Оферты, Заказчик д</w:t>
      </w:r>
      <w:r>
        <w:rPr>
          <w:sz w:val="22"/>
          <w:szCs w:val="22"/>
        </w:rPr>
        <w:t xml:space="preserve">ает согласие на получение информации от Исполнителя посредством </w:t>
      </w:r>
      <w:r>
        <w:rPr>
          <w:sz w:val="22"/>
          <w:szCs w:val="22"/>
          <w:lang w:val="en-US"/>
        </w:rPr>
        <w:t>sms</w:t>
      </w:r>
      <w:r>
        <w:rPr>
          <w:sz w:val="22"/>
          <w:szCs w:val="22"/>
        </w:rPr>
        <w:t xml:space="preserve"> и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 рассылок.</w:t>
      </w:r>
    </w:p>
    <w:p w:rsidR="002D0699" w:rsidRDefault="000D2177">
      <w:pPr>
        <w:pStyle w:val="ConsPlus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3.5. Исполнитель вправе привлекать к исполнению Договора оферты третьих лиц, оставаясь ответственным за их действия (бездействие) перед Заказчиком.</w:t>
      </w:r>
    </w:p>
    <w:p w:rsidR="002D0699" w:rsidRDefault="002D0699">
      <w:pPr>
        <w:pStyle w:val="ConsPlusNormal"/>
        <w:ind w:firstLine="284"/>
        <w:jc w:val="center"/>
        <w:rPr>
          <w:sz w:val="22"/>
          <w:szCs w:val="22"/>
        </w:rPr>
      </w:pPr>
    </w:p>
    <w:p w:rsidR="002D0699" w:rsidRDefault="000D2177">
      <w:pPr>
        <w:pStyle w:val="ConsPlusNormal"/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4. Условия и порядок</w:t>
      </w:r>
      <w:r>
        <w:rPr>
          <w:sz w:val="22"/>
          <w:szCs w:val="22"/>
        </w:rPr>
        <w:t xml:space="preserve"> предоставления услуг</w:t>
      </w:r>
    </w:p>
    <w:p w:rsidR="002D0699" w:rsidRDefault="000D2177">
      <w:pPr>
        <w:pStyle w:val="af9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Действует следующий порядок оказания услуг:</w:t>
      </w:r>
    </w:p>
    <w:p w:rsidR="002D0699" w:rsidRDefault="000D2177">
      <w:pPr>
        <w:pStyle w:val="af9"/>
        <w:numPr>
          <w:ilvl w:val="2"/>
          <w:numId w:val="4"/>
        </w:numPr>
        <w:tabs>
          <w:tab w:val="left" w:pos="1134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воспользоваться персональными тренировками, Заказчику необходимо согласовать в зоне рецепции Клуба личность тренера, который будет оказывать услуги по проведению персональных тренирово</w:t>
      </w:r>
      <w:r>
        <w:rPr>
          <w:rFonts w:ascii="Times New Roman" w:hAnsi="Times New Roman" w:cs="Times New Roman"/>
        </w:rPr>
        <w:t xml:space="preserve">к. После выбора тренера, который непосредственно будет проводить тренировки, необходимо согласовать с ним даты и время проведения тренировок. </w:t>
      </w:r>
    </w:p>
    <w:p w:rsidR="002D0699" w:rsidRDefault="000D2177">
      <w:pPr>
        <w:pStyle w:val="af9"/>
        <w:numPr>
          <w:ilvl w:val="2"/>
          <w:numId w:val="4"/>
        </w:numPr>
        <w:tabs>
          <w:tab w:val="left" w:pos="1134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проведения одной персональной тренировки составляет 55 минут. В случае опоздания Заказчика на персональную </w:t>
      </w:r>
      <w:r>
        <w:rPr>
          <w:rFonts w:ascii="Times New Roman" w:hAnsi="Times New Roman" w:cs="Times New Roman"/>
        </w:rPr>
        <w:t>тренировку, время проведения персональной тренировки сокращается пропорционально времени опоздания Заказчика. В случае опоздания Заказчика на персональную тренировку более чем на 55 минут, услуга по проведению одной персональной тренировки считается оказан</w:t>
      </w:r>
      <w:r>
        <w:rPr>
          <w:rFonts w:ascii="Times New Roman" w:hAnsi="Times New Roman" w:cs="Times New Roman"/>
        </w:rPr>
        <w:t>ной со стороны Исполнителя. Отмена записи на персональную тренировку возможна не позднее 12 (двенадцати) часов до начала тренировки (отмена записи может быть произведена лично или при обращении по номеру телефона +7 (495) 477-59-27).</w:t>
      </w:r>
      <w:r>
        <w:rPr>
          <w:rFonts w:ascii="Times New Roman" w:hAnsi="Times New Roman" w:cs="Times New Roman"/>
          <w:b/>
        </w:rPr>
        <w:t xml:space="preserve"> </w:t>
      </w:r>
    </w:p>
    <w:p w:rsidR="002D0699" w:rsidRDefault="000D2177">
      <w:pPr>
        <w:pStyle w:val="af9"/>
        <w:numPr>
          <w:ilvl w:val="2"/>
          <w:numId w:val="4"/>
        </w:numPr>
        <w:tabs>
          <w:tab w:val="left" w:pos="1134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наличии объективн</w:t>
      </w:r>
      <w:r>
        <w:rPr>
          <w:rFonts w:ascii="Times New Roman" w:hAnsi="Times New Roman" w:cs="Times New Roman"/>
        </w:rPr>
        <w:t xml:space="preserve">ых обстоятельств (болезнь тренера и т.п.) </w:t>
      </w:r>
      <w:bookmarkStart w:id="2" w:name="_Hlk105750873"/>
      <w:r>
        <w:rPr>
          <w:rFonts w:ascii="Times New Roman" w:hAnsi="Times New Roman" w:cs="Times New Roman"/>
        </w:rPr>
        <w:t>Исполнитель</w:t>
      </w:r>
      <w:bookmarkEnd w:id="2"/>
      <w:r>
        <w:rPr>
          <w:rFonts w:ascii="Times New Roman" w:hAnsi="Times New Roman" w:cs="Times New Roman"/>
        </w:rPr>
        <w:t xml:space="preserve"> может перенести даты и время проведения персональных тренировок, либо, при наличии согласия Заказчика, предоставить другого тренера. </w:t>
      </w:r>
    </w:p>
    <w:p w:rsidR="002D0699" w:rsidRDefault="000D2177">
      <w:pPr>
        <w:pStyle w:val="af9"/>
        <w:numPr>
          <w:ilvl w:val="2"/>
          <w:numId w:val="4"/>
        </w:numPr>
        <w:tabs>
          <w:tab w:val="left" w:pos="1134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действия персональных тренировок (срок, в течение которого Зака</w:t>
      </w:r>
      <w:r>
        <w:rPr>
          <w:rFonts w:ascii="Times New Roman" w:hAnsi="Times New Roman" w:cs="Times New Roman"/>
        </w:rPr>
        <w:t>зчик имеет право требовать исполнение от Исполнителя по Договору) зависит от количества персональных тренировок и составляет:</w:t>
      </w:r>
    </w:p>
    <w:p w:rsidR="002D0699" w:rsidRDefault="000D2177">
      <w:pPr>
        <w:pStyle w:val="af9"/>
        <w:numPr>
          <w:ilvl w:val="0"/>
          <w:numId w:val="3"/>
        </w:numPr>
        <w:tabs>
          <w:tab w:val="left" w:pos="1134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Индивидуально с тренером: 1 персональная тренировка – 3 календарных дня; 5 персональных тренировок – 30 календарных дней; 10 персо</w:t>
      </w:r>
      <w:r>
        <w:rPr>
          <w:rFonts w:ascii="Times New Roman" w:hAnsi="Times New Roman" w:cs="Times New Roman"/>
        </w:rPr>
        <w:t>нальных тренировок – 60 календарных дней; 20 персональных тренировок – 75 календарных дней.</w:t>
      </w:r>
    </w:p>
    <w:p w:rsidR="002D0699" w:rsidRDefault="000D2177">
      <w:pPr>
        <w:pStyle w:val="af9"/>
        <w:numPr>
          <w:ilvl w:val="0"/>
          <w:numId w:val="3"/>
        </w:numPr>
        <w:tabs>
          <w:tab w:val="left" w:pos="1134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Сплит тренировки (2 человека): 1 персональная тренировка – 3 календарных дня; 5 персональных тренировок – 30 календарных дней; 10 персональных тренировок – 60 кален</w:t>
      </w:r>
      <w:r>
        <w:rPr>
          <w:rFonts w:ascii="Times New Roman" w:hAnsi="Times New Roman" w:cs="Times New Roman"/>
        </w:rPr>
        <w:t>дарных дней; 20 сплит персональных тренировок – 75 календарных дней.</w:t>
      </w:r>
    </w:p>
    <w:p w:rsidR="002D0699" w:rsidRDefault="000D2177">
      <w:pPr>
        <w:pStyle w:val="af9"/>
        <w:numPr>
          <w:ilvl w:val="2"/>
          <w:numId w:val="4"/>
        </w:numPr>
        <w:tabs>
          <w:tab w:val="left" w:pos="1134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действия персональных тренировок начинается с даты списания первой тренировки. Исполнитель оказывает Заказчику услуги в течение срока действия персональных тренировок. По истечении с</w:t>
      </w:r>
      <w:r>
        <w:rPr>
          <w:rFonts w:ascii="Times New Roman" w:hAnsi="Times New Roman" w:cs="Times New Roman"/>
        </w:rPr>
        <w:t>рока действия блока персональных тренировок услуги по договору считаются надлежаще оказанными Исполнителем, а оплата по договору возврату не подлежит</w:t>
      </w:r>
    </w:p>
    <w:p w:rsidR="002D0699" w:rsidRDefault="000D2177">
      <w:pPr>
        <w:pStyle w:val="af9"/>
        <w:numPr>
          <w:ilvl w:val="2"/>
          <w:numId w:val="4"/>
        </w:numPr>
        <w:tabs>
          <w:tab w:val="left" w:pos="1134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отказа Заказчика от Договора в течение срока действия персональных тренировок, Исполнитель возвра</w:t>
      </w:r>
      <w:r>
        <w:rPr>
          <w:rFonts w:ascii="Times New Roman" w:hAnsi="Times New Roman" w:cs="Times New Roman"/>
        </w:rPr>
        <w:t>щает денежные средства Заказчику за вычетом стоимости проведенных персональных тренировок. Стоимость проведенных персональных тренировок рассчитывается исходя из стоимости проведения одной персональной тренировки, умноженной на количество проведенных персо</w:t>
      </w:r>
      <w:r>
        <w:rPr>
          <w:rFonts w:ascii="Times New Roman" w:hAnsi="Times New Roman" w:cs="Times New Roman"/>
        </w:rPr>
        <w:t xml:space="preserve">нальных тренировок.  </w:t>
      </w:r>
    </w:p>
    <w:p w:rsidR="002D0699" w:rsidRDefault="002D0699">
      <w:pPr>
        <w:pStyle w:val="af9"/>
        <w:tabs>
          <w:tab w:val="left" w:pos="1134"/>
        </w:tabs>
        <w:spacing w:after="0"/>
        <w:ind w:left="0" w:firstLine="284"/>
        <w:jc w:val="both"/>
        <w:rPr>
          <w:rFonts w:ascii="Times New Roman" w:hAnsi="Times New Roman" w:cs="Times New Roman"/>
        </w:rPr>
      </w:pPr>
    </w:p>
    <w:p w:rsidR="002D0699" w:rsidRDefault="000D2177">
      <w:pPr>
        <w:pStyle w:val="ConsPlusNormal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5. Прочие положения</w:t>
      </w:r>
    </w:p>
    <w:p w:rsidR="002D0699" w:rsidRDefault="000D2177">
      <w:pPr>
        <w:pStyle w:val="ConsPlusNormal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5.1. Все, что не урегулировано офертой, определяется в соответствии с законодательством Российской Федерации.</w:t>
      </w:r>
    </w:p>
    <w:p w:rsidR="002D0699" w:rsidRDefault="000D21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5.2. Реквизиты Исполнителя: индивидуальный предприниматель Марков Виталий Валерьевич</w:t>
      </w:r>
    </w:p>
    <w:p w:rsidR="002D0699" w:rsidRDefault="000D21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ОГРНИП 321619600106687, ИНН 615010707859, юридический адрес: г. Ростов-на-Дону, ул. Целинная, д. 43, корп. Б</w:t>
      </w:r>
    </w:p>
    <w:p w:rsidR="002D0699" w:rsidRDefault="000D21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счет: 40802810038000271135</w:t>
      </w:r>
    </w:p>
    <w:p w:rsidR="002D0699" w:rsidRDefault="000D21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Банк: ПАО СБЕРБАНК</w:t>
      </w:r>
    </w:p>
    <w:p w:rsidR="002D0699" w:rsidRDefault="000D21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044525225</w:t>
      </w:r>
    </w:p>
    <w:p w:rsidR="002D0699" w:rsidRDefault="000D21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Корр. счет: 30101810400000000225</w:t>
      </w:r>
    </w:p>
    <w:p w:rsidR="002D0699" w:rsidRDefault="002D0699">
      <w:pPr>
        <w:spacing w:after="0"/>
        <w:jc w:val="both"/>
        <w:rPr>
          <w:rFonts w:ascii="Times New Roman" w:hAnsi="Times New Roman" w:cs="Times New Roman"/>
        </w:rPr>
      </w:pPr>
    </w:p>
    <w:sectPr w:rsidR="002D0699">
      <w:footerReference w:type="default" r:id="rId7"/>
      <w:pgSz w:w="11906" w:h="16838"/>
      <w:pgMar w:top="851" w:right="707" w:bottom="851" w:left="851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177" w:rsidRDefault="000D2177">
      <w:pPr>
        <w:spacing w:after="0" w:line="240" w:lineRule="auto"/>
      </w:pPr>
      <w:r>
        <w:separator/>
      </w:r>
    </w:p>
  </w:endnote>
  <w:endnote w:type="continuationSeparator" w:id="0">
    <w:p w:rsidR="000D2177" w:rsidRDefault="000D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633474"/>
      <w:docPartObj>
        <w:docPartGallery w:val="Page Numbers (Bottom of Page)"/>
        <w:docPartUnique/>
      </w:docPartObj>
    </w:sdtPr>
    <w:sdtEndPr/>
    <w:sdtContent>
      <w:p w:rsidR="002D0699" w:rsidRDefault="000D2177">
        <w:pPr>
          <w:pStyle w:val="ac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A5E54">
          <w:rPr>
            <w:rFonts w:ascii="Times New Roman" w:hAnsi="Times New Roman" w:cs="Times New Roman"/>
            <w:noProof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177" w:rsidRDefault="000D2177">
      <w:pPr>
        <w:spacing w:after="0" w:line="240" w:lineRule="auto"/>
      </w:pPr>
      <w:r>
        <w:separator/>
      </w:r>
    </w:p>
  </w:footnote>
  <w:footnote w:type="continuationSeparator" w:id="0">
    <w:p w:rsidR="000D2177" w:rsidRDefault="000D2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20EE"/>
    <w:multiLevelType w:val="multilevel"/>
    <w:tmpl w:val="0270BF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1DC9636D"/>
    <w:multiLevelType w:val="hybridMultilevel"/>
    <w:tmpl w:val="2CA046A0"/>
    <w:lvl w:ilvl="0" w:tplc="F6BE7E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220210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C52BA3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FB2EA3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AA2BD9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EEEF5C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709C0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4B6011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1B6878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BC19FA"/>
    <w:multiLevelType w:val="hybridMultilevel"/>
    <w:tmpl w:val="7610A9BE"/>
    <w:lvl w:ilvl="0" w:tplc="817274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A826E2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442083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BF23E8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E2C0C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2DC88E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88E9A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B6CD88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E7EB9B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E27FDC"/>
    <w:multiLevelType w:val="hybridMultilevel"/>
    <w:tmpl w:val="C4A807AE"/>
    <w:lvl w:ilvl="0" w:tplc="E02A2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5E26FC">
      <w:start w:val="1"/>
      <w:numFmt w:val="lowerLetter"/>
      <w:lvlText w:val="%2."/>
      <w:lvlJc w:val="left"/>
      <w:pPr>
        <w:ind w:left="1440" w:hanging="360"/>
      </w:pPr>
    </w:lvl>
    <w:lvl w:ilvl="2" w:tplc="FEA6DDB6">
      <w:start w:val="1"/>
      <w:numFmt w:val="lowerRoman"/>
      <w:lvlText w:val="%3."/>
      <w:lvlJc w:val="right"/>
      <w:pPr>
        <w:ind w:left="2160" w:hanging="180"/>
      </w:pPr>
    </w:lvl>
    <w:lvl w:ilvl="3" w:tplc="0DDE792E">
      <w:start w:val="1"/>
      <w:numFmt w:val="decimal"/>
      <w:lvlText w:val="%4."/>
      <w:lvlJc w:val="left"/>
      <w:pPr>
        <w:ind w:left="2880" w:hanging="360"/>
      </w:pPr>
    </w:lvl>
    <w:lvl w:ilvl="4" w:tplc="5E2048C6">
      <w:start w:val="1"/>
      <w:numFmt w:val="lowerLetter"/>
      <w:lvlText w:val="%5."/>
      <w:lvlJc w:val="left"/>
      <w:pPr>
        <w:ind w:left="3600" w:hanging="360"/>
      </w:pPr>
    </w:lvl>
    <w:lvl w:ilvl="5" w:tplc="396427A8">
      <w:start w:val="1"/>
      <w:numFmt w:val="lowerRoman"/>
      <w:lvlText w:val="%6."/>
      <w:lvlJc w:val="right"/>
      <w:pPr>
        <w:ind w:left="4320" w:hanging="180"/>
      </w:pPr>
    </w:lvl>
    <w:lvl w:ilvl="6" w:tplc="DF66EBCE">
      <w:start w:val="1"/>
      <w:numFmt w:val="decimal"/>
      <w:lvlText w:val="%7."/>
      <w:lvlJc w:val="left"/>
      <w:pPr>
        <w:ind w:left="5040" w:hanging="360"/>
      </w:pPr>
    </w:lvl>
    <w:lvl w:ilvl="7" w:tplc="C518A514">
      <w:start w:val="1"/>
      <w:numFmt w:val="lowerLetter"/>
      <w:lvlText w:val="%8."/>
      <w:lvlJc w:val="left"/>
      <w:pPr>
        <w:ind w:left="5760" w:hanging="360"/>
      </w:pPr>
    </w:lvl>
    <w:lvl w:ilvl="8" w:tplc="5970B4D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99"/>
    <w:rsid w:val="000D2177"/>
    <w:rsid w:val="002D0699"/>
    <w:rsid w:val="009A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48CFA-2C86-4B48-8CD1-E6F09350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ody Text Indent"/>
    <w:basedOn w:val="a"/>
    <w:link w:val="afb"/>
    <w:unhideWhenUsed/>
    <w:pPr>
      <w:spacing w:after="0" w:line="240" w:lineRule="auto"/>
      <w:ind w:right="-1192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styleId="aff1">
    <w:name w:val="Balloon Text"/>
    <w:basedOn w:val="a"/>
    <w:link w:val="aff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Смирнов</dc:creator>
  <cp:lastModifiedBy>ServiceM</cp:lastModifiedBy>
  <cp:revision>2</cp:revision>
  <dcterms:created xsi:type="dcterms:W3CDTF">2022-11-23T08:41:00Z</dcterms:created>
  <dcterms:modified xsi:type="dcterms:W3CDTF">2022-11-23T08:41:00Z</dcterms:modified>
</cp:coreProperties>
</file>